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046"/>
        <w:gridCol w:w="1489"/>
        <w:gridCol w:w="4036"/>
      </w:tblGrid>
      <w:tr w:rsidR="008D744A">
        <w:tc>
          <w:tcPr>
            <w:tcW w:w="4046" w:type="dxa"/>
            <w:shd w:val="clear" w:color="auto" w:fill="auto"/>
          </w:tcPr>
          <w:p w:rsidR="008D744A" w:rsidRDefault="008D744A">
            <w:pPr>
              <w:jc w:val="center"/>
              <w:rPr>
                <w:b/>
              </w:rPr>
            </w:pPr>
          </w:p>
          <w:p w:rsidR="008D744A" w:rsidRDefault="00D53D6A">
            <w:pPr>
              <w:jc w:val="center"/>
              <w:rPr>
                <w:b/>
              </w:rPr>
            </w:pPr>
            <w:r>
              <w:rPr>
                <w:b/>
              </w:rPr>
              <w:t xml:space="preserve">Министерство предпринимательства, </w:t>
            </w:r>
          </w:p>
          <w:p w:rsidR="008D744A" w:rsidRDefault="00D53D6A">
            <w:pPr>
              <w:jc w:val="center"/>
              <w:rPr>
                <w:b/>
              </w:rPr>
            </w:pPr>
            <w:r>
              <w:rPr>
                <w:b/>
              </w:rPr>
              <w:t xml:space="preserve">торговли и туризма </w:t>
            </w:r>
          </w:p>
          <w:p w:rsidR="008D744A" w:rsidRDefault="00D53D6A">
            <w:pPr>
              <w:jc w:val="center"/>
            </w:pPr>
            <w:r>
              <w:rPr>
                <w:b/>
              </w:rPr>
              <w:t>Республики Саха (Якутия)</w:t>
            </w:r>
          </w:p>
        </w:tc>
        <w:tc>
          <w:tcPr>
            <w:tcW w:w="1489" w:type="dxa"/>
            <w:shd w:val="clear" w:color="auto" w:fill="auto"/>
          </w:tcPr>
          <w:p w:rsidR="008D744A" w:rsidRDefault="00D53D6A">
            <w:r>
              <w:rPr>
                <w:rFonts w:ascii="Times Sakha" w:hAnsi="Times Sakha"/>
                <w:noProof/>
                <w:color w:val="0000FF"/>
              </w:rPr>
              <w:drawing>
                <wp:inline distT="0" distB="0" distL="0" distR="0">
                  <wp:extent cx="676275" cy="67627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rcRect/>
                          <a:stretch/>
                        </pic:blipFill>
                        <pic:spPr>
                          <a:xfrm>
                            <a:off x="0" y="0"/>
                            <a:ext cx="676275" cy="676275"/>
                          </a:xfrm>
                          <a:prstGeom prst="rect">
                            <a:avLst/>
                          </a:prstGeom>
                        </pic:spPr>
                      </pic:pic>
                    </a:graphicData>
                  </a:graphic>
                </wp:inline>
              </w:drawing>
            </w:r>
          </w:p>
        </w:tc>
        <w:tc>
          <w:tcPr>
            <w:tcW w:w="4036" w:type="dxa"/>
            <w:shd w:val="clear" w:color="auto" w:fill="auto"/>
          </w:tcPr>
          <w:p w:rsidR="008D744A" w:rsidRDefault="008D744A">
            <w:pPr>
              <w:jc w:val="center"/>
              <w:rPr>
                <w:b/>
              </w:rPr>
            </w:pPr>
          </w:p>
          <w:p w:rsidR="008D744A" w:rsidRDefault="00D53D6A">
            <w:pPr>
              <w:jc w:val="center"/>
              <w:rPr>
                <w:b/>
              </w:rPr>
            </w:pPr>
            <w:r>
              <w:rPr>
                <w:b/>
              </w:rPr>
              <w:t xml:space="preserve">Саха </w:t>
            </w:r>
            <w:proofErr w:type="spellStart"/>
            <w:r>
              <w:rPr>
                <w:b/>
              </w:rPr>
              <w:t>Өрөспүүбүлүкэтин</w:t>
            </w:r>
            <w:proofErr w:type="spellEnd"/>
            <w:r>
              <w:rPr>
                <w:b/>
              </w:rPr>
              <w:t xml:space="preserve"> </w:t>
            </w:r>
          </w:p>
          <w:p w:rsidR="008D744A" w:rsidRDefault="00D53D6A">
            <w:pPr>
              <w:jc w:val="center"/>
              <w:rPr>
                <w:b/>
              </w:rPr>
            </w:pPr>
            <w:proofErr w:type="spellStart"/>
            <w:r>
              <w:rPr>
                <w:b/>
              </w:rPr>
              <w:t>Урбааҥҥа</w:t>
            </w:r>
            <w:proofErr w:type="spellEnd"/>
            <w:r>
              <w:rPr>
                <w:b/>
              </w:rPr>
              <w:t xml:space="preserve">, </w:t>
            </w:r>
            <w:proofErr w:type="spellStart"/>
            <w:r>
              <w:rPr>
                <w:b/>
              </w:rPr>
              <w:t>эргиэҥҥэ</w:t>
            </w:r>
            <w:proofErr w:type="spellEnd"/>
            <w:r>
              <w:rPr>
                <w:b/>
              </w:rPr>
              <w:t xml:space="preserve"> </w:t>
            </w:r>
            <w:proofErr w:type="spellStart"/>
            <w:r>
              <w:rPr>
                <w:b/>
              </w:rPr>
              <w:t>уонна</w:t>
            </w:r>
            <w:proofErr w:type="spellEnd"/>
            <w:r>
              <w:rPr>
                <w:b/>
              </w:rPr>
              <w:t xml:space="preserve"> </w:t>
            </w:r>
            <w:proofErr w:type="spellStart"/>
            <w:r>
              <w:rPr>
                <w:b/>
              </w:rPr>
              <w:t>туризмҥа</w:t>
            </w:r>
            <w:proofErr w:type="spellEnd"/>
            <w:r>
              <w:rPr>
                <w:b/>
              </w:rPr>
              <w:t xml:space="preserve"> </w:t>
            </w:r>
            <w:proofErr w:type="spellStart"/>
            <w:r>
              <w:rPr>
                <w:b/>
              </w:rPr>
              <w:t>министиэристибэтэ</w:t>
            </w:r>
            <w:proofErr w:type="spellEnd"/>
            <w:r>
              <w:rPr>
                <w:b/>
              </w:rPr>
              <w:t xml:space="preserve"> </w:t>
            </w:r>
          </w:p>
          <w:p w:rsidR="008D744A" w:rsidRDefault="008D744A">
            <w:pPr>
              <w:jc w:val="center"/>
              <w:rPr>
                <w:b/>
              </w:rPr>
            </w:pPr>
          </w:p>
          <w:p w:rsidR="008D744A" w:rsidRDefault="008D744A"/>
        </w:tc>
      </w:tr>
      <w:tr w:rsidR="008D744A" w:rsidRPr="00E32C7E">
        <w:tc>
          <w:tcPr>
            <w:tcW w:w="9571" w:type="dxa"/>
            <w:gridSpan w:val="3"/>
            <w:shd w:val="clear" w:color="auto" w:fill="auto"/>
          </w:tcPr>
          <w:p w:rsidR="008D744A" w:rsidRDefault="00D53D6A">
            <w:pPr>
              <w:jc w:val="center"/>
              <w:rPr>
                <w:sz w:val="20"/>
              </w:rPr>
            </w:pPr>
            <w:r>
              <w:rPr>
                <w:sz w:val="20"/>
              </w:rPr>
              <w:t xml:space="preserve">677000, </w:t>
            </w:r>
            <w:proofErr w:type="spellStart"/>
            <w:r>
              <w:rPr>
                <w:sz w:val="20"/>
              </w:rPr>
              <w:t>пр.Ленина</w:t>
            </w:r>
            <w:proofErr w:type="spellEnd"/>
            <w:r>
              <w:rPr>
                <w:sz w:val="20"/>
              </w:rPr>
              <w:t>, 22, Якутск, Республика Саха (Якутия)</w:t>
            </w:r>
          </w:p>
          <w:p w:rsidR="008D744A" w:rsidRPr="00625DE2" w:rsidRDefault="00D53D6A">
            <w:pPr>
              <w:jc w:val="center"/>
              <w:rPr>
                <w:sz w:val="20"/>
                <w:lang w:val="en-US"/>
              </w:rPr>
            </w:pPr>
            <w:r>
              <w:rPr>
                <w:sz w:val="20"/>
              </w:rPr>
              <w:t>тел</w:t>
            </w:r>
            <w:r w:rsidRPr="00625DE2">
              <w:rPr>
                <w:sz w:val="20"/>
                <w:lang w:val="en-US"/>
              </w:rPr>
              <w:t xml:space="preserve">.: (4112) 506-224, e-mail: </w:t>
            </w:r>
            <w:hyperlink r:id="rId5" w:history="1">
              <w:r w:rsidRPr="00625DE2">
                <w:rPr>
                  <w:rStyle w:val="13"/>
                  <w:sz w:val="20"/>
                  <w:lang w:val="en-US"/>
                </w:rPr>
                <w:t>minpred@sakha.gov.ru</w:t>
              </w:r>
            </w:hyperlink>
            <w:r w:rsidRPr="00625DE2">
              <w:rPr>
                <w:sz w:val="20"/>
                <w:lang w:val="en-US"/>
              </w:rPr>
              <w:t xml:space="preserve">; https:// </w:t>
            </w:r>
            <w:hyperlink r:id="rId6" w:history="1">
              <w:r w:rsidRPr="00625DE2">
                <w:rPr>
                  <w:rStyle w:val="13"/>
                  <w:sz w:val="20"/>
                  <w:lang w:val="en-US"/>
                </w:rPr>
                <w:t>minpred.sakha.gov.ru</w:t>
              </w:r>
            </w:hyperlink>
            <w:r w:rsidRPr="00625DE2">
              <w:rPr>
                <w:sz w:val="20"/>
                <w:lang w:val="en-US"/>
              </w:rPr>
              <w:t xml:space="preserve">/  </w:t>
            </w:r>
          </w:p>
          <w:p w:rsidR="008D744A" w:rsidRPr="00625DE2" w:rsidRDefault="008D744A">
            <w:pPr>
              <w:jc w:val="center"/>
              <w:rPr>
                <w:lang w:val="en-US"/>
              </w:rPr>
            </w:pPr>
          </w:p>
        </w:tc>
      </w:tr>
      <w:tr w:rsidR="008D744A">
        <w:tc>
          <w:tcPr>
            <w:tcW w:w="9571" w:type="dxa"/>
            <w:gridSpan w:val="3"/>
            <w:shd w:val="clear" w:color="auto" w:fill="auto"/>
          </w:tcPr>
          <w:p w:rsidR="008D744A" w:rsidRDefault="00D53D6A">
            <w:pPr>
              <w:rPr>
                <w:sz w:val="20"/>
              </w:rPr>
            </w:pPr>
            <w:bookmarkStart w:id="0" w:name="regnumdatestamp"/>
            <w:r>
              <w:rPr>
                <w:sz w:val="20"/>
              </w:rPr>
              <w:t>Дата и номер</w:t>
            </w:r>
            <w:bookmarkEnd w:id="0"/>
          </w:p>
          <w:p w:rsidR="008D744A" w:rsidRDefault="008D744A">
            <w:pPr>
              <w:jc w:val="center"/>
              <w:rPr>
                <w:b/>
              </w:rPr>
            </w:pPr>
          </w:p>
        </w:tc>
      </w:tr>
    </w:tbl>
    <w:p w:rsidR="008D744A" w:rsidRDefault="008D744A">
      <w:pPr>
        <w:spacing w:line="23" w:lineRule="atLeast"/>
        <w:ind w:left="7654" w:hanging="2693"/>
        <w:jc w:val="center"/>
        <w:rPr>
          <w:sz w:val="28"/>
        </w:rPr>
      </w:pPr>
    </w:p>
    <w:p w:rsidR="008D744A" w:rsidRDefault="00D53D6A">
      <w:pPr>
        <w:ind w:left="7654" w:hanging="2693"/>
        <w:jc w:val="center"/>
        <w:rPr>
          <w:sz w:val="28"/>
        </w:rPr>
      </w:pPr>
      <w:r>
        <w:rPr>
          <w:sz w:val="28"/>
        </w:rPr>
        <w:t xml:space="preserve">Государственному комитету </w:t>
      </w:r>
    </w:p>
    <w:p w:rsidR="008D744A" w:rsidRDefault="00D53D6A">
      <w:pPr>
        <w:ind w:left="7654" w:hanging="2693"/>
        <w:jc w:val="center"/>
        <w:rPr>
          <w:sz w:val="28"/>
        </w:rPr>
      </w:pPr>
      <w:r>
        <w:rPr>
          <w:sz w:val="28"/>
        </w:rPr>
        <w:t>Республики Саха (Якутия)</w:t>
      </w:r>
    </w:p>
    <w:p w:rsidR="008D744A" w:rsidRDefault="00D53D6A">
      <w:pPr>
        <w:ind w:left="7654" w:hanging="2693"/>
        <w:jc w:val="center"/>
        <w:rPr>
          <w:sz w:val="28"/>
        </w:rPr>
      </w:pPr>
      <w:r>
        <w:rPr>
          <w:sz w:val="28"/>
        </w:rPr>
        <w:t xml:space="preserve">по занятости населения </w:t>
      </w:r>
    </w:p>
    <w:p w:rsidR="008D744A" w:rsidRDefault="008D744A">
      <w:pPr>
        <w:spacing w:line="23" w:lineRule="atLeast"/>
        <w:ind w:left="7654" w:hanging="2693"/>
        <w:jc w:val="center"/>
        <w:rPr>
          <w:sz w:val="28"/>
        </w:rPr>
      </w:pPr>
    </w:p>
    <w:p w:rsidR="008D744A" w:rsidRDefault="008D744A" w:rsidP="00625DE2">
      <w:pPr>
        <w:spacing w:line="23" w:lineRule="atLeast"/>
        <w:rPr>
          <w:sz w:val="28"/>
        </w:rPr>
      </w:pPr>
    </w:p>
    <w:p w:rsidR="008D744A" w:rsidRDefault="00D53D6A">
      <w:pPr>
        <w:spacing w:line="276" w:lineRule="auto"/>
        <w:jc w:val="center"/>
        <w:rPr>
          <w:rFonts w:ascii="PT Astra Serif" w:hAnsi="PT Astra Serif"/>
          <w:sz w:val="28"/>
        </w:rPr>
      </w:pPr>
      <w:r>
        <w:rPr>
          <w:rFonts w:ascii="PT Astra Serif" w:hAnsi="PT Astra Serif"/>
          <w:sz w:val="28"/>
        </w:rPr>
        <w:t>Заключение</w:t>
      </w:r>
    </w:p>
    <w:p w:rsidR="008D744A" w:rsidRDefault="00D53D6A">
      <w:pPr>
        <w:spacing w:line="276" w:lineRule="auto"/>
        <w:jc w:val="center"/>
        <w:rPr>
          <w:rFonts w:ascii="PT Astra Serif" w:hAnsi="PT Astra Serif"/>
          <w:sz w:val="28"/>
        </w:rPr>
      </w:pPr>
      <w:r>
        <w:rPr>
          <w:rFonts w:ascii="PT Astra Serif" w:hAnsi="PT Astra Serif"/>
          <w:sz w:val="28"/>
        </w:rPr>
        <w:t>по итогам углубленной оценки регулирующего воздействия</w:t>
      </w:r>
    </w:p>
    <w:p w:rsidR="008D744A" w:rsidRDefault="00D53D6A">
      <w:pPr>
        <w:spacing w:line="276" w:lineRule="auto"/>
        <w:jc w:val="center"/>
        <w:rPr>
          <w:rFonts w:ascii="PT Astra Serif" w:hAnsi="PT Astra Serif"/>
          <w:sz w:val="28"/>
        </w:rPr>
      </w:pPr>
      <w:r>
        <w:rPr>
          <w:rFonts w:ascii="PT Astra Serif" w:hAnsi="PT Astra Serif"/>
          <w:sz w:val="28"/>
        </w:rPr>
        <w:t xml:space="preserve">проекта </w:t>
      </w:r>
      <w:r w:rsidR="00625DE2">
        <w:rPr>
          <w:rFonts w:ascii="PT Astra Serif" w:hAnsi="PT Astra Serif"/>
          <w:sz w:val="28"/>
        </w:rPr>
        <w:t>Указа Главы Республики Саха (Якутия) «Об установлении на 2026 год запрет на привлечение хозяйствующими субъектами, осуществляющими деятельность на территории Республики Саха (Якутия), иностранных граждан, осуществляющих трудовую деятельность на основании патентов, по отдельным видам экономической деятельности»</w:t>
      </w:r>
    </w:p>
    <w:p w:rsidR="008D744A" w:rsidRDefault="008D744A">
      <w:pPr>
        <w:spacing w:line="276" w:lineRule="auto"/>
        <w:jc w:val="center"/>
        <w:rPr>
          <w:rFonts w:ascii="PT Astra Serif" w:hAnsi="PT Astra Serif"/>
          <w:sz w:val="28"/>
        </w:rPr>
      </w:pPr>
    </w:p>
    <w:p w:rsidR="008D744A" w:rsidRPr="000C681C" w:rsidRDefault="00D53D6A" w:rsidP="000C681C">
      <w:pPr>
        <w:spacing w:line="276" w:lineRule="auto"/>
        <w:ind w:firstLine="709"/>
        <w:jc w:val="both"/>
        <w:rPr>
          <w:sz w:val="28"/>
        </w:rPr>
      </w:pPr>
      <w:bookmarkStart w:id="1" w:name="_GoBack"/>
      <w:r w:rsidRPr="000C681C">
        <w:rPr>
          <w:sz w:val="28"/>
        </w:rPr>
        <w:t xml:space="preserve">В соответствии с Положением об оценке регулирующего воздействия проектов нормативных правовых актов Республики Саха (Якутия), мониторинге фактического воздействия нормативных правовых актов Республики Саха (Якутия) и экспертизе нормативных правовых актов Республики Саха (Якутия) утвержденный Указом Главы Республики Саха (Якутия) от 19 июня 2023г. № 2911 (далее – Положение), рассмотрев </w:t>
      </w:r>
      <w:r w:rsidRPr="000C681C">
        <w:rPr>
          <w:rStyle w:val="1"/>
          <w:sz w:val="28"/>
        </w:rPr>
        <w:t xml:space="preserve">проект </w:t>
      </w:r>
      <w:r w:rsidR="00625DE2" w:rsidRPr="000C681C">
        <w:rPr>
          <w:rStyle w:val="1"/>
          <w:sz w:val="28"/>
        </w:rPr>
        <w:t>Указа Главы Республики Саха (Якутия) «Об установлении на 2026 год запрет на привлечение хозяйствующими субъектами, осуществляющими деятельность на территории Республики Саха (Якутия), иностранных граждан, осуществляющих трудовую деятельность на основании патентов, по отдельным видам экономической деятельности»</w:t>
      </w:r>
      <w:r w:rsidR="00625DE2" w:rsidRPr="000C681C">
        <w:rPr>
          <w:sz w:val="28"/>
        </w:rPr>
        <w:t xml:space="preserve"> </w:t>
      </w:r>
      <w:r w:rsidRPr="000C681C">
        <w:rPr>
          <w:sz w:val="28"/>
        </w:rPr>
        <w:t>(далее – проект) и Сводный отчет по итогам оценки регулирующего воздействия проекта, сообщаем следующее:</w:t>
      </w:r>
    </w:p>
    <w:p w:rsidR="008D744A" w:rsidRPr="000C681C" w:rsidRDefault="00D53D6A" w:rsidP="000C681C">
      <w:pPr>
        <w:spacing w:line="276" w:lineRule="auto"/>
        <w:ind w:firstLine="709"/>
        <w:jc w:val="both"/>
        <w:rPr>
          <w:sz w:val="28"/>
        </w:rPr>
      </w:pPr>
      <w:r w:rsidRPr="000C681C">
        <w:rPr>
          <w:sz w:val="28"/>
        </w:rPr>
        <w:t>Регулирующим органом определена в соответствии с пун</w:t>
      </w:r>
      <w:r w:rsidR="00625DE2" w:rsidRPr="000C681C">
        <w:rPr>
          <w:sz w:val="28"/>
        </w:rPr>
        <w:t>ктом 1.7 Сводного отчета средняя</w:t>
      </w:r>
      <w:r w:rsidRPr="000C681C">
        <w:rPr>
          <w:sz w:val="28"/>
        </w:rPr>
        <w:t xml:space="preserve"> степень регулирующего воздействия проекта.</w:t>
      </w:r>
    </w:p>
    <w:p w:rsidR="008D744A" w:rsidRPr="000C681C" w:rsidRDefault="00D53D6A" w:rsidP="000C681C">
      <w:pPr>
        <w:widowControl/>
        <w:spacing w:line="276" w:lineRule="auto"/>
        <w:ind w:firstLine="709"/>
        <w:jc w:val="both"/>
        <w:rPr>
          <w:sz w:val="28"/>
        </w:rPr>
      </w:pPr>
      <w:r w:rsidRPr="000C681C">
        <w:rPr>
          <w:sz w:val="28"/>
        </w:rPr>
        <w:t xml:space="preserve">Проект содержит </w:t>
      </w:r>
      <w:r w:rsidR="00625DE2" w:rsidRPr="000C681C">
        <w:rPr>
          <w:sz w:val="28"/>
        </w:rPr>
        <w:t xml:space="preserve">положения, устанавливающие на 2026 год запреты для хозяйствующих субъектов, осуществляющих деятельность на территории Республики Саха (Якутия), на привлечение иностранных граждан, </w:t>
      </w:r>
      <w:r w:rsidR="00625DE2" w:rsidRPr="000C681C">
        <w:rPr>
          <w:sz w:val="28"/>
        </w:rPr>
        <w:lastRenderedPageBreak/>
        <w:t xml:space="preserve">осуществляющих трудовую деятельность на основании патентов, по отдельным видам экономической деятельности. </w:t>
      </w:r>
    </w:p>
    <w:p w:rsidR="00625DE2" w:rsidRPr="000C681C" w:rsidRDefault="00062E87" w:rsidP="000C681C">
      <w:pPr>
        <w:widowControl/>
        <w:spacing w:line="276" w:lineRule="auto"/>
        <w:ind w:firstLine="709"/>
        <w:jc w:val="both"/>
        <w:rPr>
          <w:sz w:val="28"/>
        </w:rPr>
      </w:pPr>
      <w:r w:rsidRPr="000C681C">
        <w:rPr>
          <w:sz w:val="28"/>
        </w:rPr>
        <w:t>В сводном отчете разработчик определил следующие проблемы, на решение которых направлен проект акта:</w:t>
      </w:r>
    </w:p>
    <w:p w:rsidR="00062E87" w:rsidRPr="000C681C" w:rsidRDefault="00062E87" w:rsidP="000C681C">
      <w:pPr>
        <w:widowControl/>
        <w:spacing w:line="276" w:lineRule="auto"/>
        <w:ind w:firstLine="709"/>
        <w:jc w:val="both"/>
        <w:rPr>
          <w:sz w:val="28"/>
        </w:rPr>
      </w:pPr>
      <w:r w:rsidRPr="000C681C">
        <w:rPr>
          <w:sz w:val="28"/>
        </w:rPr>
        <w:t xml:space="preserve">Увеличение численности иностранной рабочей силы, осуществляющей трудовую деятельность на основании патентов, приведёт к увеличению напряженности на рынке труда Республики Саха (Якутия), росту безработицы среди местного населения. </w:t>
      </w:r>
    </w:p>
    <w:p w:rsidR="00E32C7E" w:rsidRPr="000C681C" w:rsidRDefault="0078424C" w:rsidP="000C681C">
      <w:pPr>
        <w:widowControl/>
        <w:spacing w:line="276" w:lineRule="auto"/>
        <w:ind w:firstLine="709"/>
        <w:jc w:val="both"/>
        <w:rPr>
          <w:sz w:val="28"/>
        </w:rPr>
      </w:pPr>
      <w:r w:rsidRPr="000C681C">
        <w:rPr>
          <w:sz w:val="28"/>
        </w:rPr>
        <w:t xml:space="preserve">В соответствии с приложенной сводкой предложений, поступило предложение от Уполномоченного по защите прав предпринимателей в Республике Саха (Якутия) А.Е. </w:t>
      </w:r>
      <w:proofErr w:type="spellStart"/>
      <w:r w:rsidRPr="000C681C">
        <w:rPr>
          <w:sz w:val="28"/>
        </w:rPr>
        <w:t>Кычкиной</w:t>
      </w:r>
      <w:proofErr w:type="spellEnd"/>
      <w:r w:rsidRPr="000C681C">
        <w:rPr>
          <w:sz w:val="28"/>
        </w:rPr>
        <w:t>, котор</w:t>
      </w:r>
      <w:r w:rsidR="00E32C7E" w:rsidRPr="000C681C">
        <w:rPr>
          <w:sz w:val="28"/>
        </w:rPr>
        <w:t xml:space="preserve">ое разработчиком не было учтено в связи с тем, что в соответствии со статьей 53 Федерального закона от 12.12.2023г. № 565-ФЗ «О занятости населения в Российской Федерации» в целях реализации государственной политики в сфере занятости населения, работодатели обязаны проинформировать государственную службу занятости о свободных рабочих местах и вакантных должностях, в том числе о потребности в их замещении. </w:t>
      </w:r>
    </w:p>
    <w:p w:rsidR="00802B90" w:rsidRPr="000C681C" w:rsidRDefault="00802B90" w:rsidP="000C681C">
      <w:pPr>
        <w:widowControl/>
        <w:spacing w:line="276" w:lineRule="auto"/>
        <w:ind w:firstLine="709"/>
        <w:jc w:val="both"/>
        <w:rPr>
          <w:sz w:val="28"/>
        </w:rPr>
      </w:pPr>
      <w:r w:rsidRPr="000C681C">
        <w:rPr>
          <w:sz w:val="28"/>
        </w:rPr>
        <w:t xml:space="preserve">На основании представленной работодателями информации органы службы занятости осуществляют оценку состояния рынка труда и прогноз развития занятости населения, а также разрабатываемые меры, направленные на достижение оптимальной занятости населения, включающие меры по регулированию рынка труда иностранных работников. </w:t>
      </w:r>
    </w:p>
    <w:p w:rsidR="00802B90" w:rsidRPr="000C681C" w:rsidRDefault="00802B90" w:rsidP="000C681C">
      <w:pPr>
        <w:widowControl/>
        <w:spacing w:line="276" w:lineRule="auto"/>
        <w:ind w:firstLine="709"/>
        <w:jc w:val="both"/>
        <w:rPr>
          <w:sz w:val="28"/>
        </w:rPr>
      </w:pPr>
      <w:r w:rsidRPr="000C681C">
        <w:rPr>
          <w:sz w:val="28"/>
        </w:rPr>
        <w:t xml:space="preserve">На основании вышеизложенного, объективных данных, подтверждающие потребности в привлечении иностранной рабочей силы не имеется. </w:t>
      </w:r>
    </w:p>
    <w:p w:rsidR="00802B90" w:rsidRPr="000C681C" w:rsidRDefault="00802B90" w:rsidP="000C681C">
      <w:pPr>
        <w:widowControl/>
        <w:spacing w:line="276" w:lineRule="auto"/>
        <w:ind w:firstLine="709"/>
        <w:jc w:val="both"/>
        <w:rPr>
          <w:sz w:val="28"/>
        </w:rPr>
      </w:pPr>
      <w:r w:rsidRPr="000C681C">
        <w:rPr>
          <w:sz w:val="28"/>
        </w:rPr>
        <w:t>Дополнительно сообщается, что 30 сентября 2025г. состоялся семинар по вопросам привлечения и использования иностранной рабочей силы на территории Республики Саха (Якутия), где приняли участие 34 организации. В ходе семинара представители СХПСПК «</w:t>
      </w:r>
      <w:proofErr w:type="spellStart"/>
      <w:r w:rsidRPr="000C681C">
        <w:rPr>
          <w:sz w:val="28"/>
        </w:rPr>
        <w:t>Байар</w:t>
      </w:r>
      <w:proofErr w:type="spellEnd"/>
      <w:r w:rsidRPr="000C681C">
        <w:rPr>
          <w:sz w:val="28"/>
        </w:rPr>
        <w:t xml:space="preserve">», ЯРО «Деловая Россия», ООО «Пирс» выступили с устной инициативой внести изменения в Проект по запрету на 2026 год по причине нехватки рабочей силы. </w:t>
      </w:r>
    </w:p>
    <w:p w:rsidR="00802B90" w:rsidRPr="000C681C" w:rsidRDefault="00802B90" w:rsidP="000C681C">
      <w:pPr>
        <w:widowControl/>
        <w:spacing w:line="276" w:lineRule="auto"/>
        <w:ind w:firstLine="709"/>
        <w:jc w:val="both"/>
        <w:rPr>
          <w:sz w:val="28"/>
        </w:rPr>
      </w:pPr>
      <w:r w:rsidRPr="000C681C">
        <w:rPr>
          <w:sz w:val="28"/>
        </w:rPr>
        <w:t>Одновременно сообщается, что информация о потребности СХПСПК «</w:t>
      </w:r>
      <w:proofErr w:type="spellStart"/>
      <w:r w:rsidRPr="000C681C">
        <w:rPr>
          <w:sz w:val="28"/>
        </w:rPr>
        <w:t>Байар</w:t>
      </w:r>
      <w:proofErr w:type="spellEnd"/>
      <w:r w:rsidRPr="000C681C">
        <w:rPr>
          <w:sz w:val="28"/>
        </w:rPr>
        <w:t xml:space="preserve">» в Центр занятости населения не поступала, в единой цифровой платформе «работа в России» отсутствует. </w:t>
      </w:r>
    </w:p>
    <w:p w:rsidR="0078424C" w:rsidRPr="000C681C" w:rsidRDefault="00802B90" w:rsidP="000C681C">
      <w:pPr>
        <w:widowControl/>
        <w:spacing w:line="276" w:lineRule="auto"/>
        <w:ind w:firstLine="709"/>
        <w:jc w:val="both"/>
        <w:rPr>
          <w:sz w:val="28"/>
        </w:rPr>
      </w:pPr>
      <w:r w:rsidRPr="000C681C">
        <w:rPr>
          <w:sz w:val="28"/>
        </w:rPr>
        <w:t>Разработчиком также сообщается о том, что работодателям была доведен</w:t>
      </w:r>
      <w:r w:rsidR="000C681C" w:rsidRPr="000C681C">
        <w:rPr>
          <w:sz w:val="28"/>
        </w:rPr>
        <w:t xml:space="preserve">а информация о публичных консультациях по Проекту и возможности внесения предложений и замечаний. </w:t>
      </w:r>
    </w:p>
    <w:p w:rsidR="008D744A" w:rsidRPr="000C681C" w:rsidRDefault="00D53D6A" w:rsidP="000C681C">
      <w:pPr>
        <w:spacing w:line="276" w:lineRule="auto"/>
        <w:ind w:firstLine="709"/>
        <w:jc w:val="both"/>
        <w:rPr>
          <w:sz w:val="28"/>
        </w:rPr>
      </w:pPr>
      <w:r w:rsidRPr="000C681C">
        <w:rPr>
          <w:sz w:val="28"/>
        </w:rPr>
        <w:t>Уполномоченный орган считает достаточным обоснование данного проекта.</w:t>
      </w:r>
    </w:p>
    <w:p w:rsidR="008D744A" w:rsidRPr="000C681C" w:rsidRDefault="00D53D6A" w:rsidP="000C681C">
      <w:pPr>
        <w:spacing w:line="276" w:lineRule="auto"/>
        <w:ind w:firstLine="709"/>
        <w:jc w:val="both"/>
        <w:rPr>
          <w:sz w:val="28"/>
        </w:rPr>
      </w:pPr>
      <w:r w:rsidRPr="000C681C">
        <w:rPr>
          <w:sz w:val="28"/>
        </w:rPr>
        <w:t xml:space="preserve">Проект был опубликован в сети «Интернет» по адресу: </w:t>
      </w:r>
      <w:hyperlink r:id="rId7" w:history="1">
        <w:r w:rsidRPr="000C681C">
          <w:rPr>
            <w:rStyle w:val="a7"/>
            <w:sz w:val="28"/>
          </w:rPr>
          <w:t>https://мойбизнес14.рф/orv/</w:t>
        </w:r>
      </w:hyperlink>
      <w:r w:rsidRPr="000C681C">
        <w:rPr>
          <w:sz w:val="28"/>
        </w:rPr>
        <w:t>.</w:t>
      </w:r>
    </w:p>
    <w:p w:rsidR="008D744A" w:rsidRPr="000C681C" w:rsidRDefault="00D53D6A" w:rsidP="000C681C">
      <w:pPr>
        <w:spacing w:line="276" w:lineRule="auto"/>
        <w:ind w:firstLine="709"/>
        <w:jc w:val="both"/>
        <w:rPr>
          <w:sz w:val="28"/>
        </w:rPr>
      </w:pPr>
      <w:r w:rsidRPr="000C681C">
        <w:rPr>
          <w:sz w:val="28"/>
        </w:rPr>
        <w:t>Срок, в течение которого принимались предложения в связи с публичными консультациями по проекту нормативно правового акта и сводному отчету об оценке регули</w:t>
      </w:r>
      <w:r w:rsidR="00531B06" w:rsidRPr="000C681C">
        <w:rPr>
          <w:sz w:val="28"/>
        </w:rPr>
        <w:t>рующего воздействия: начало: «22» сентября 2025 г., окончание: «03» октября</w:t>
      </w:r>
      <w:r w:rsidRPr="000C681C">
        <w:rPr>
          <w:sz w:val="28"/>
        </w:rPr>
        <w:t xml:space="preserve"> 2025 г.</w:t>
      </w:r>
    </w:p>
    <w:p w:rsidR="008D744A" w:rsidRPr="000C681C" w:rsidRDefault="00D53D6A" w:rsidP="000C681C">
      <w:pPr>
        <w:spacing w:line="276" w:lineRule="auto"/>
        <w:ind w:firstLine="709"/>
        <w:jc w:val="both"/>
        <w:rPr>
          <w:sz w:val="28"/>
        </w:rPr>
      </w:pPr>
      <w:r w:rsidRPr="000C681C">
        <w:rPr>
          <w:sz w:val="28"/>
        </w:rPr>
        <w:t>По информации регулирующего орган</w:t>
      </w:r>
      <w:r w:rsidR="00531B06" w:rsidRPr="000C681C">
        <w:rPr>
          <w:sz w:val="28"/>
        </w:rPr>
        <w:t>а всего поступило предложений -1 из них учтено – 0, не учтено – 1</w:t>
      </w:r>
      <w:r w:rsidRPr="000C681C">
        <w:rPr>
          <w:sz w:val="28"/>
        </w:rPr>
        <w:t>, учтено частично - 0.</w:t>
      </w:r>
    </w:p>
    <w:p w:rsidR="000C681C" w:rsidRPr="000C681C" w:rsidRDefault="000C681C" w:rsidP="000C681C">
      <w:pPr>
        <w:spacing w:line="276" w:lineRule="auto"/>
        <w:ind w:firstLine="709"/>
        <w:jc w:val="both"/>
        <w:rPr>
          <w:sz w:val="28"/>
        </w:rPr>
      </w:pPr>
      <w:r w:rsidRPr="000C681C">
        <w:rPr>
          <w:sz w:val="28"/>
        </w:rPr>
        <w:t>На основании изложенного, сделан вывод о том, что регулирующим органом при подготовке проекта, соблюден порядок проведения углубленной оценки регулирующего воздействия.</w:t>
      </w:r>
    </w:p>
    <w:bookmarkEnd w:id="1"/>
    <w:p w:rsidR="000C681C" w:rsidRDefault="000C681C" w:rsidP="000C681C">
      <w:pPr>
        <w:spacing w:line="276" w:lineRule="auto"/>
        <w:ind w:firstLine="709"/>
        <w:jc w:val="both"/>
        <w:rPr>
          <w:sz w:val="28"/>
        </w:rPr>
      </w:pPr>
    </w:p>
    <w:p w:rsidR="00D53D6A" w:rsidRDefault="00D53D6A" w:rsidP="00D53D6A">
      <w:pPr>
        <w:spacing w:line="276" w:lineRule="auto"/>
        <w:ind w:firstLine="708"/>
        <w:jc w:val="both"/>
        <w:rPr>
          <w:rFonts w:ascii="PT Astra Serif" w:hAnsi="PT Astra Serif"/>
          <w:sz w:val="28"/>
        </w:rPr>
      </w:pPr>
    </w:p>
    <w:p w:rsidR="00D53D6A" w:rsidRDefault="00D53D6A" w:rsidP="00D53D6A">
      <w:pPr>
        <w:spacing w:line="276" w:lineRule="auto"/>
        <w:ind w:firstLine="708"/>
        <w:jc w:val="both"/>
        <w:rPr>
          <w:rFonts w:ascii="PT Astra Serif" w:hAnsi="PT Astra Serif"/>
          <w:sz w:val="28"/>
        </w:rPr>
      </w:pPr>
    </w:p>
    <w:p w:rsidR="00D53D6A" w:rsidRPr="00D53D6A" w:rsidRDefault="00D53D6A" w:rsidP="00D53D6A">
      <w:pPr>
        <w:spacing w:line="276" w:lineRule="auto"/>
        <w:ind w:firstLine="708"/>
        <w:jc w:val="both"/>
        <w:rPr>
          <w:rFonts w:ascii="PT Astra Serif" w:hAnsi="PT Astra Serif"/>
          <w:sz w:val="28"/>
        </w:rPr>
      </w:pPr>
    </w:p>
    <w:tbl>
      <w:tblPr>
        <w:tblStyle w:val="af0"/>
        <w:tblW w:w="0" w:type="auto"/>
        <w:tblBorders>
          <w:top w:val="nil"/>
          <w:left w:val="nil"/>
          <w:bottom w:val="nil"/>
          <w:right w:val="nil"/>
          <w:insideH w:val="nil"/>
          <w:insideV w:val="nil"/>
        </w:tblBorders>
        <w:tblLayout w:type="fixed"/>
        <w:tblLook w:val="04A0" w:firstRow="1" w:lastRow="0" w:firstColumn="1" w:lastColumn="0" w:noHBand="0" w:noVBand="1"/>
      </w:tblPr>
      <w:tblGrid>
        <w:gridCol w:w="2068"/>
        <w:gridCol w:w="5648"/>
        <w:gridCol w:w="2205"/>
      </w:tblGrid>
      <w:tr w:rsidR="008D744A">
        <w:trPr>
          <w:trHeight w:val="700"/>
        </w:trPr>
        <w:tc>
          <w:tcPr>
            <w:tcW w:w="2068" w:type="dxa"/>
            <w:tcBorders>
              <w:top w:val="nil"/>
              <w:left w:val="nil"/>
              <w:bottom w:val="nil"/>
              <w:right w:val="nil"/>
            </w:tcBorders>
          </w:tcPr>
          <w:p w:rsidR="008D744A" w:rsidRDefault="00D53D6A">
            <w:pPr>
              <w:spacing w:after="160" w:line="264" w:lineRule="auto"/>
              <w:rPr>
                <w:sz w:val="28"/>
              </w:rPr>
            </w:pPr>
            <w:bookmarkStart w:id="2" w:name="SIGNERPOST1"/>
            <w:r>
              <w:rPr>
                <w:sz w:val="28"/>
              </w:rPr>
              <w:t>Должность</w:t>
            </w:r>
            <w:bookmarkEnd w:id="2"/>
          </w:p>
        </w:tc>
        <w:tc>
          <w:tcPr>
            <w:tcW w:w="5648" w:type="dxa"/>
            <w:tcBorders>
              <w:top w:val="nil"/>
              <w:left w:val="nil"/>
              <w:bottom w:val="nil"/>
              <w:right w:val="nil"/>
            </w:tcBorders>
          </w:tcPr>
          <w:p w:rsidR="008D744A" w:rsidRDefault="00D53D6A">
            <w:pPr>
              <w:tabs>
                <w:tab w:val="right" w:pos="5595"/>
              </w:tabs>
              <w:spacing w:after="160" w:line="264" w:lineRule="auto"/>
              <w:rPr>
                <w:sz w:val="28"/>
              </w:rPr>
            </w:pPr>
            <w:bookmarkStart w:id="3" w:name="SIGNERSTAMP1"/>
            <w:r>
              <w:rPr>
                <w:sz w:val="28"/>
              </w:rPr>
              <w:t>[ШТАМП]</w:t>
            </w:r>
            <w:bookmarkEnd w:id="3"/>
            <w:r>
              <w:rPr>
                <w:sz w:val="28"/>
              </w:rPr>
              <w:tab/>
            </w:r>
          </w:p>
        </w:tc>
        <w:tc>
          <w:tcPr>
            <w:tcW w:w="2205" w:type="dxa"/>
            <w:tcBorders>
              <w:top w:val="nil"/>
              <w:left w:val="nil"/>
              <w:bottom w:val="nil"/>
              <w:right w:val="nil"/>
            </w:tcBorders>
          </w:tcPr>
          <w:p w:rsidR="008D744A" w:rsidRDefault="00D53D6A">
            <w:pPr>
              <w:spacing w:after="160" w:line="264" w:lineRule="auto"/>
              <w:jc w:val="center"/>
              <w:rPr>
                <w:sz w:val="28"/>
              </w:rPr>
            </w:pPr>
            <w:bookmarkStart w:id="4" w:name="SIGNERNAME1"/>
            <w:r>
              <w:rPr>
                <w:sz w:val="28"/>
              </w:rPr>
              <w:t>ФИО</w:t>
            </w:r>
            <w:bookmarkEnd w:id="4"/>
          </w:p>
        </w:tc>
      </w:tr>
    </w:tbl>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D53D6A">
      <w:pPr>
        <w:pStyle w:val="a8"/>
      </w:pPr>
      <w:r>
        <w:t>Исп. Скрябина И.В.  тел.: 506-576</w:t>
      </w:r>
    </w:p>
    <w:p w:rsidR="008D744A" w:rsidRDefault="008D744A"/>
    <w:sectPr w:rsidR="008D744A">
      <w:pgSz w:w="11906" w:h="16838"/>
      <w:pgMar w:top="1134" w:right="567"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 Sakha">
    <w:altName w:val="Times New Roman"/>
    <w:panose1 w:val="00000000000000000000"/>
    <w:charset w:val="00"/>
    <w:family w:val="roman"/>
    <w:notTrueType/>
    <w:pitch w:val="default"/>
  </w:font>
  <w:font w:name="PT Astra 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44A"/>
    <w:rsid w:val="00062E87"/>
    <w:rsid w:val="000C681C"/>
    <w:rsid w:val="00531B06"/>
    <w:rsid w:val="00625DE2"/>
    <w:rsid w:val="0078424C"/>
    <w:rsid w:val="00802B90"/>
    <w:rsid w:val="008D744A"/>
    <w:rsid w:val="00D53D6A"/>
    <w:rsid w:val="00E32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47F34A-C1AC-4C66-8287-525096AD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widowControl w:val="0"/>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14">
    <w:name w:val="Обычный1"/>
    <w:link w:val="15"/>
    <w:rPr>
      <w:rFonts w:ascii="Times New Roman" w:hAnsi="Times New Roman"/>
      <w:sz w:val="24"/>
    </w:rPr>
  </w:style>
  <w:style w:type="character" w:customStyle="1" w:styleId="15">
    <w:name w:val="Обычный1"/>
    <w:link w:val="14"/>
    <w:rPr>
      <w:rFonts w:ascii="Times New Roman" w:hAnsi="Times New Roman"/>
      <w:sz w:val="24"/>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caption"/>
    <w:basedOn w:val="a"/>
    <w:next w:val="a"/>
    <w:link w:val="a4"/>
    <w:pPr>
      <w:spacing w:after="200"/>
    </w:pPr>
    <w:rPr>
      <w:rFonts w:ascii="Calibri" w:hAnsi="Calibri"/>
      <w:i/>
      <w:color w:val="1F497D"/>
      <w:sz w:val="18"/>
    </w:rPr>
  </w:style>
  <w:style w:type="character" w:customStyle="1" w:styleId="a4">
    <w:name w:val="Название объекта Знак"/>
    <w:basedOn w:val="1"/>
    <w:link w:val="a3"/>
    <w:rPr>
      <w:rFonts w:ascii="Calibri" w:hAnsi="Calibri"/>
      <w:i/>
      <w:color w:val="1F497D"/>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8">
    <w:name w:val="footer"/>
    <w:basedOn w:val="a"/>
    <w:link w:val="a9"/>
    <w:pPr>
      <w:tabs>
        <w:tab w:val="center" w:pos="4677"/>
        <w:tab w:val="right" w:pos="9355"/>
      </w:tabs>
    </w:pPr>
  </w:style>
  <w:style w:type="character" w:customStyle="1" w:styleId="a9">
    <w:name w:val="Нижний колонтитул Знак"/>
    <w:basedOn w:val="1"/>
    <w:link w:val="a8"/>
    <w:rPr>
      <w:rFonts w:ascii="Times New Roman" w:hAnsi="Times New Roman"/>
      <w:sz w:val="24"/>
    </w:rPr>
  </w:style>
  <w:style w:type="paragraph" w:customStyle="1" w:styleId="18">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a">
    <w:name w:val="Balloon Text"/>
    <w:basedOn w:val="a"/>
    <w:link w:val="ab"/>
    <w:rPr>
      <w:rFonts w:ascii="Tahoma" w:hAnsi="Tahoma"/>
      <w:sz w:val="16"/>
    </w:rPr>
  </w:style>
  <w:style w:type="character" w:customStyle="1" w:styleId="ab">
    <w:name w:val="Текст выноски Знак"/>
    <w:basedOn w:val="1"/>
    <w:link w:val="aa"/>
    <w:rPr>
      <w:rFonts w:ascii="Tahoma" w:hAnsi="Tahoma"/>
      <w:sz w:val="16"/>
    </w:rPr>
  </w:style>
  <w:style w:type="paragraph" w:styleId="ac">
    <w:name w:val="Subtitle"/>
    <w:next w:val="a"/>
    <w:link w:val="ad"/>
    <w:uiPriority w:val="11"/>
    <w:qFormat/>
    <w:pPr>
      <w:jc w:val="both"/>
    </w:pPr>
    <w:rPr>
      <w:rFonts w:ascii="XO Thames" w:hAnsi="XO Thames"/>
      <w:i/>
      <w:sz w:val="24"/>
    </w:rPr>
  </w:style>
  <w:style w:type="character" w:customStyle="1" w:styleId="ad">
    <w:name w:val="Подзаголовок Знак"/>
    <w:link w:val="ac"/>
    <w:rPr>
      <w:rFonts w:ascii="XO Thames" w:hAnsi="XO Thames"/>
      <w:i/>
      <w:sz w:val="24"/>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Название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9">
    <w:name w:val="Основной шрифт абзаца1"/>
    <w:link w:val="1a"/>
  </w:style>
  <w:style w:type="character" w:customStyle="1" w:styleId="1a">
    <w:name w:val="Основной шрифт абзаца1"/>
    <w:link w:val="19"/>
  </w:style>
  <w:style w:type="table" w:styleId="af0">
    <w:name w:val="Table Grid"/>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1084;&#1086;&#1081;&#1073;&#1080;&#1079;&#1085;&#1077;&#1089;14.&#1088;&#1092;/o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ninvest@sakha.gov.ru" TargetMode="External"/><Relationship Id="rId5" Type="http://schemas.openxmlformats.org/officeDocument/2006/relationships/hyperlink" Target="mailto:minpred@sakha.gov.ru"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749</Words>
  <Characters>4274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Скрябина Ирина Васильевна</cp:lastModifiedBy>
  <cp:revision>3</cp:revision>
  <dcterms:created xsi:type="dcterms:W3CDTF">2025-06-05T03:17:00Z</dcterms:created>
  <dcterms:modified xsi:type="dcterms:W3CDTF">2025-10-15T08:59:00Z</dcterms:modified>
</cp:coreProperties>
</file>